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501" w:rsidRPr="00BC335C" w:rsidRDefault="00FE5501" w:rsidP="009F51A9">
      <w:pPr>
        <w:spacing w:after="240" w:line="320" w:lineRule="exact"/>
        <w:rPr>
          <w:rFonts w:ascii="Arial" w:hAnsi="Arial" w:cs="Arial"/>
          <w:b/>
          <w:color w:val="262626" w:themeColor="text1" w:themeTint="D9"/>
          <w:sz w:val="24"/>
          <w:szCs w:val="24"/>
        </w:rPr>
      </w:pPr>
      <w:r w:rsidRPr="00BC335C">
        <w:rPr>
          <w:rFonts w:ascii="Arial" w:hAnsi="Arial" w:cs="Arial"/>
          <w:b/>
          <w:color w:val="262626" w:themeColor="text1" w:themeTint="D9"/>
          <w:sz w:val="24"/>
          <w:szCs w:val="24"/>
        </w:rPr>
        <w:t>Beschreibung</w:t>
      </w:r>
    </w:p>
    <w:p w:rsidR="00280B6F" w:rsidRPr="00B34962" w:rsidRDefault="00FE5501" w:rsidP="00A87844">
      <w:pPr>
        <w:spacing w:before="120" w:after="240" w:line="320" w:lineRule="exact"/>
        <w:rPr>
          <w:rFonts w:ascii="Arial" w:hAnsi="Arial" w:cs="Arial"/>
          <w:color w:val="262626" w:themeColor="text1" w:themeTint="D9"/>
        </w:rPr>
      </w:pPr>
      <w:r w:rsidRPr="00B34962">
        <w:rPr>
          <w:rFonts w:ascii="Arial" w:hAnsi="Arial" w:cs="Arial"/>
          <w:color w:val="262626" w:themeColor="text1" w:themeTint="D9"/>
        </w:rPr>
        <w:t>Diese Praxismaterialien unterstützen Sie bei der Analyse und Verbesserung der schulinternen Kommunikationsstrukturen. Ein System der internen Kommunikation an der Schule kann falsche Informationsweitergabe und Missverständnisse verhindern. Deshalb ist es wichtig, dass eine wechselseitige Kommunikation zwischen der Schulleitung, der Koordinationsgruppe für die berufliche Orientierung, dem Kollegium sowie den Schülerinnen und Schülern stattfindet, sodass alle relevanten Informationen zur beruflichen Orientierung bei den jeweilig betroffenen Personen ankommen.</w:t>
      </w:r>
    </w:p>
    <w:p w:rsidR="00FE5501" w:rsidRPr="00BC335C" w:rsidRDefault="00FE5501" w:rsidP="00A87844">
      <w:pPr>
        <w:spacing w:before="120" w:after="240" w:line="320" w:lineRule="exact"/>
        <w:rPr>
          <w:rFonts w:ascii="Arial" w:hAnsi="Arial" w:cs="Arial"/>
          <w:b/>
          <w:color w:val="262626" w:themeColor="text1" w:themeTint="D9"/>
          <w:sz w:val="24"/>
          <w:szCs w:val="24"/>
        </w:rPr>
      </w:pPr>
      <w:r w:rsidRPr="00BC335C">
        <w:rPr>
          <w:rFonts w:ascii="Arial" w:hAnsi="Arial" w:cs="Arial"/>
          <w:b/>
          <w:color w:val="262626" w:themeColor="text1" w:themeTint="D9"/>
          <w:sz w:val="24"/>
          <w:szCs w:val="24"/>
        </w:rPr>
        <w:t>Voraussetzungen</w:t>
      </w:r>
    </w:p>
    <w:p w:rsidR="009F51A9" w:rsidRPr="00B34962" w:rsidRDefault="00FE5501" w:rsidP="009F51A9">
      <w:pPr>
        <w:spacing w:after="240" w:line="320" w:lineRule="exact"/>
        <w:rPr>
          <w:rFonts w:ascii="Arial" w:hAnsi="Arial" w:cs="Arial"/>
          <w:color w:val="262626" w:themeColor="text1" w:themeTint="D9"/>
        </w:rPr>
      </w:pPr>
      <w:r w:rsidRPr="00B34962">
        <w:rPr>
          <w:rFonts w:ascii="Arial" w:hAnsi="Arial" w:cs="Arial"/>
          <w:b/>
          <w:color w:val="262626" w:themeColor="text1" w:themeTint="D9"/>
        </w:rPr>
        <w:t>►</w:t>
      </w:r>
      <w:r w:rsidR="009F51A9" w:rsidRPr="00B34962">
        <w:rPr>
          <w:rFonts w:ascii="Arial" w:hAnsi="Arial" w:cs="Arial"/>
          <w:b/>
          <w:color w:val="262626" w:themeColor="text1" w:themeTint="D9"/>
        </w:rPr>
        <w:tab/>
      </w:r>
      <w:r w:rsidRPr="00B34962">
        <w:rPr>
          <w:rFonts w:ascii="Arial" w:hAnsi="Arial" w:cs="Arial"/>
          <w:color w:val="262626" w:themeColor="text1" w:themeTint="D9"/>
        </w:rPr>
        <w:t>Es werden einheitliche Regeln der Kommunika</w:t>
      </w:r>
      <w:r w:rsidR="009F51A9" w:rsidRPr="00B34962">
        <w:rPr>
          <w:rFonts w:ascii="Arial" w:hAnsi="Arial" w:cs="Arial"/>
          <w:color w:val="262626" w:themeColor="text1" w:themeTint="D9"/>
        </w:rPr>
        <w:t>tion eingeführt und eingehalten</w:t>
      </w:r>
    </w:p>
    <w:p w:rsidR="009F51A9" w:rsidRPr="00B34962" w:rsidRDefault="00FE5501" w:rsidP="009F51A9">
      <w:pPr>
        <w:spacing w:after="240" w:line="320" w:lineRule="exact"/>
        <w:rPr>
          <w:rFonts w:ascii="Arial" w:hAnsi="Arial" w:cs="Arial"/>
          <w:color w:val="262626" w:themeColor="text1" w:themeTint="D9"/>
        </w:rPr>
      </w:pPr>
      <w:r w:rsidRPr="00B34962">
        <w:rPr>
          <w:rFonts w:ascii="Arial" w:hAnsi="Arial" w:cs="Arial"/>
          <w:color w:val="262626" w:themeColor="text1" w:themeTint="D9"/>
        </w:rPr>
        <w:t>►</w:t>
      </w:r>
      <w:r w:rsidR="009F51A9" w:rsidRPr="00B34962">
        <w:rPr>
          <w:rFonts w:ascii="Arial" w:hAnsi="Arial" w:cs="Arial"/>
          <w:color w:val="262626" w:themeColor="text1" w:themeTint="D9"/>
        </w:rPr>
        <w:tab/>
      </w:r>
      <w:r w:rsidRPr="00B34962">
        <w:rPr>
          <w:rFonts w:ascii="Arial" w:hAnsi="Arial" w:cs="Arial"/>
          <w:color w:val="262626" w:themeColor="text1" w:themeTint="D9"/>
        </w:rPr>
        <w:t>Aktivitäten werden aufe</w:t>
      </w:r>
      <w:r w:rsidR="009F51A9" w:rsidRPr="00B34962">
        <w:rPr>
          <w:rFonts w:ascii="Arial" w:hAnsi="Arial" w:cs="Arial"/>
          <w:color w:val="262626" w:themeColor="text1" w:themeTint="D9"/>
        </w:rPr>
        <w:t>inander abgestimmt durchgeführt</w:t>
      </w:r>
    </w:p>
    <w:p w:rsidR="00FE5501" w:rsidRPr="00B34962" w:rsidRDefault="00FE5501"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w:t>
      </w:r>
      <w:r w:rsidR="009F51A9" w:rsidRPr="00B34962">
        <w:rPr>
          <w:rFonts w:ascii="Arial" w:hAnsi="Arial" w:cs="Arial"/>
          <w:color w:val="262626" w:themeColor="text1" w:themeTint="D9"/>
        </w:rPr>
        <w:tab/>
      </w:r>
      <w:r w:rsidRPr="00B34962">
        <w:rPr>
          <w:rFonts w:ascii="Arial" w:hAnsi="Arial" w:cs="Arial"/>
          <w:color w:val="262626" w:themeColor="text1" w:themeTint="D9"/>
        </w:rPr>
        <w:t>Lehrkräfte werden zum Thema Kommunikati</w:t>
      </w:r>
      <w:r w:rsidR="009F51A9" w:rsidRPr="00B34962">
        <w:rPr>
          <w:rFonts w:ascii="Arial" w:hAnsi="Arial" w:cs="Arial"/>
          <w:color w:val="262626" w:themeColor="text1" w:themeTint="D9"/>
        </w:rPr>
        <w:t>onsstrukturen qualifiziert und erweitern ihre Kompetenzen</w:t>
      </w:r>
    </w:p>
    <w:p w:rsidR="009F51A9" w:rsidRPr="00BC335C" w:rsidRDefault="009F51A9" w:rsidP="009F51A9">
      <w:pPr>
        <w:spacing w:after="240" w:line="320" w:lineRule="exact"/>
        <w:ind w:left="284" w:hanging="284"/>
        <w:rPr>
          <w:rFonts w:ascii="Arial" w:hAnsi="Arial" w:cs="Arial"/>
          <w:b/>
          <w:color w:val="262626" w:themeColor="text1" w:themeTint="D9"/>
          <w:sz w:val="24"/>
          <w:szCs w:val="24"/>
        </w:rPr>
      </w:pPr>
      <w:r w:rsidRPr="00BC335C">
        <w:rPr>
          <w:rFonts w:ascii="Arial" w:hAnsi="Arial" w:cs="Arial"/>
          <w:b/>
          <w:color w:val="262626" w:themeColor="text1" w:themeTint="D9"/>
          <w:sz w:val="24"/>
          <w:szCs w:val="24"/>
        </w:rPr>
        <w:t>Ziele</w:t>
      </w:r>
    </w:p>
    <w:p w:rsidR="009F51A9" w:rsidRPr="00B34962" w:rsidRDefault="009F51A9" w:rsidP="009F51A9">
      <w:pPr>
        <w:spacing w:after="240" w:line="320" w:lineRule="exact"/>
        <w:ind w:left="284" w:hanging="284"/>
        <w:rPr>
          <w:rFonts w:ascii="Arial" w:hAnsi="Arial" w:cs="Arial"/>
          <w:color w:val="262626" w:themeColor="text1" w:themeTint="D9"/>
        </w:rPr>
      </w:pPr>
      <w:r w:rsidRPr="00B34962">
        <w:rPr>
          <w:rFonts w:ascii="Arial" w:hAnsi="Arial" w:cs="Arial"/>
          <w:color w:val="262626" w:themeColor="text1" w:themeTint="D9"/>
        </w:rPr>
        <w:t>►</w:t>
      </w:r>
      <w:r w:rsidRPr="00B34962">
        <w:rPr>
          <w:rFonts w:ascii="Arial" w:hAnsi="Arial" w:cs="Arial"/>
          <w:color w:val="262626" w:themeColor="text1" w:themeTint="D9"/>
        </w:rPr>
        <w:tab/>
      </w:r>
      <w:r w:rsidRPr="00B34962">
        <w:rPr>
          <w:rFonts w:ascii="Arial" w:hAnsi="Arial" w:cs="Arial"/>
          <w:color w:val="262626" w:themeColor="text1" w:themeTint="D9"/>
        </w:rPr>
        <w:tab/>
        <w:t>Konflikte und Missverständnisse werden vermieden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Das Kollegium sowie Schülerinnen und Schüler dazu motivieren, sich aktiv am  Schulleben zu beteiligen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Projekte und Ergebnisse werden präsentiert und es wird kontinuierlich über  den aktuellen Stand informiert</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Durch die einheitlichen Regeln der Kommunikation bekommen alle Beteiligten  relevante Informationen mitgeteilt. Das kann zu mehr Zuspruch und Zustimmung  des Kollegiums für Maßnahmen der beruflichen Orientierung führen, da alle  ausreichend informiert sind</w:t>
      </w:r>
    </w:p>
    <w:p w:rsidR="00007F3B" w:rsidRPr="00B34962" w:rsidRDefault="00007F3B" w:rsidP="009F51A9">
      <w:pPr>
        <w:spacing w:after="240" w:line="320" w:lineRule="exact"/>
        <w:rPr>
          <w:rFonts w:ascii="Arial" w:hAnsi="Arial" w:cs="Arial"/>
          <w:color w:val="262626" w:themeColor="text1" w:themeTint="D9"/>
        </w:rPr>
      </w:pPr>
    </w:p>
    <w:p w:rsidR="009F51A9" w:rsidRPr="00B34962" w:rsidRDefault="009F51A9" w:rsidP="009F51A9">
      <w:pPr>
        <w:spacing w:after="240" w:line="320" w:lineRule="exact"/>
        <w:rPr>
          <w:rFonts w:ascii="Arial" w:hAnsi="Arial" w:cs="Arial"/>
          <w:color w:val="262626" w:themeColor="text1" w:themeTint="D9"/>
        </w:rPr>
      </w:pPr>
      <w:bookmarkStart w:id="0" w:name="_GoBack"/>
      <w:bookmarkEnd w:id="0"/>
    </w:p>
    <w:p w:rsidR="009F51A9" w:rsidRPr="00B34962" w:rsidRDefault="009F51A9" w:rsidP="009F51A9">
      <w:pPr>
        <w:spacing w:after="240" w:line="320" w:lineRule="exact"/>
        <w:rPr>
          <w:rFonts w:ascii="Arial" w:hAnsi="Arial" w:cs="Arial"/>
          <w:color w:val="262626" w:themeColor="text1" w:themeTint="D9"/>
        </w:rPr>
      </w:pPr>
    </w:p>
    <w:p w:rsidR="009F51A9" w:rsidRPr="00B34962" w:rsidRDefault="009F51A9" w:rsidP="009F51A9">
      <w:pPr>
        <w:spacing w:after="240" w:line="320" w:lineRule="exact"/>
        <w:rPr>
          <w:rFonts w:ascii="Arial" w:hAnsi="Arial" w:cs="Arial"/>
          <w:color w:val="262626" w:themeColor="text1" w:themeTint="D9"/>
        </w:rPr>
      </w:pPr>
    </w:p>
    <w:p w:rsidR="009F51A9" w:rsidRPr="00B34962" w:rsidRDefault="009F51A9" w:rsidP="009F51A9">
      <w:pPr>
        <w:spacing w:after="240" w:line="320" w:lineRule="exact"/>
        <w:rPr>
          <w:rFonts w:ascii="Arial" w:hAnsi="Arial" w:cs="Arial"/>
          <w:color w:val="262626" w:themeColor="text1" w:themeTint="D9"/>
        </w:rPr>
      </w:pPr>
    </w:p>
    <w:p w:rsidR="009F51A9" w:rsidRPr="00BC335C" w:rsidRDefault="009F51A9" w:rsidP="009F51A9">
      <w:pPr>
        <w:spacing w:after="240" w:line="320" w:lineRule="exact"/>
        <w:rPr>
          <w:rFonts w:ascii="Arial" w:hAnsi="Arial" w:cs="Arial"/>
          <w:b/>
          <w:color w:val="262626" w:themeColor="text1" w:themeTint="D9"/>
          <w:sz w:val="24"/>
          <w:szCs w:val="24"/>
        </w:rPr>
      </w:pPr>
      <w:r w:rsidRPr="00BC335C">
        <w:rPr>
          <w:rFonts w:ascii="Arial" w:hAnsi="Arial" w:cs="Arial"/>
          <w:b/>
          <w:color w:val="262626" w:themeColor="text1" w:themeTint="D9"/>
          <w:sz w:val="24"/>
          <w:szCs w:val="24"/>
        </w:rPr>
        <w:t>Umsetzungsmöglichkeiten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w:t>
      </w:r>
      <w:r w:rsidRPr="00B34962">
        <w:rPr>
          <w:rFonts w:ascii="Arial" w:hAnsi="Arial" w:cs="Arial"/>
          <w:color w:val="262626" w:themeColor="text1" w:themeTint="D9"/>
        </w:rPr>
        <w:tab/>
        <w:t>Treffen der Koordinationsgruppen organisieren, an denen ebenfalls andere involvierte Lehrkräfte teilnehmen können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w:t>
      </w:r>
      <w:r w:rsidRPr="00B34962">
        <w:rPr>
          <w:rFonts w:ascii="Arial" w:hAnsi="Arial" w:cs="Arial"/>
          <w:color w:val="262626" w:themeColor="text1" w:themeTint="D9"/>
        </w:rPr>
        <w:tab/>
        <w:t>In Konferenzen regelmäßig Informationen zum Thema berufliche Orientierung vermitteln (z.B. über den Stand der Umsetzung bestimmter aktueller Maßnahmen)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Aushängen der Ergebnisse einer aktuellen Maßnahme (z.B. im Lehrerzimmer,  an einer Informationstafel oder am schwarzen Brett)</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Aushängen bzw. Übermitteln der Protokolle von Konferenzen und Sitzungen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Anlegen eines Ordners, der Materialien zum schulischen Konzept der beruflichen  Orientierung und entsprechende Maßnahmen für das ganze Kollegium enthält</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w:t>
      </w:r>
      <w:r w:rsidRPr="00B34962">
        <w:rPr>
          <w:rFonts w:ascii="Arial" w:hAnsi="Arial" w:cs="Arial"/>
          <w:color w:val="262626" w:themeColor="text1" w:themeTint="D9"/>
        </w:rPr>
        <w:tab/>
        <w:t>Einholen von Feedback bzw. von Verbesserungsvorschlägen (im Kollegium)</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Evaluation einer bisherigen Maßnahme von Schülerinnen und Schülern  sowie Lehrkräften durchführen (z.B. in Form eines Fragebogens oder einer  Diskussionsrunde im Anschluss an die durchgeführte Maßnahme)</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Informieren der Schülerinnen und Schüler in einer Klassenlehrerstunde</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w:t>
      </w:r>
      <w:r w:rsidRPr="00B34962">
        <w:rPr>
          <w:rFonts w:ascii="Arial" w:hAnsi="Arial" w:cs="Arial"/>
          <w:color w:val="262626" w:themeColor="text1" w:themeTint="D9"/>
        </w:rPr>
        <w:tab/>
        <w:t>Einrichten eines E-Mail-Verteilers für Lehrkräfte sowie Schülerinnen und Schüler,  um eine schnelle Weitergabe von Informationen zu gewährleisten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w:t>
      </w:r>
      <w:r w:rsidRPr="00B34962">
        <w:rPr>
          <w:rFonts w:ascii="Arial" w:hAnsi="Arial" w:cs="Arial"/>
          <w:color w:val="262626" w:themeColor="text1" w:themeTint="D9"/>
        </w:rPr>
        <w:tab/>
        <w:t>Aktuelle Ergebnisse und Maßnahmen auf der Internet- bzw. Intranet-Homepage  der Schule vorstellen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Informationen über die Schülerzeitung zur Verfügung stellen</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Jahresberichte der Schule</w:t>
      </w:r>
    </w:p>
    <w:p w:rsidR="009F51A9" w:rsidRPr="00B34962" w:rsidRDefault="009F51A9" w:rsidP="009F51A9">
      <w:pPr>
        <w:spacing w:after="240" w:line="320" w:lineRule="exact"/>
        <w:ind w:left="567" w:hanging="567"/>
        <w:rPr>
          <w:rFonts w:ascii="Arial" w:hAnsi="Arial" w:cs="Arial"/>
          <w:color w:val="262626" w:themeColor="text1" w:themeTint="D9"/>
        </w:rPr>
      </w:pPr>
      <w:r w:rsidRPr="00B34962">
        <w:rPr>
          <w:rFonts w:ascii="Arial" w:hAnsi="Arial" w:cs="Arial"/>
          <w:color w:val="262626" w:themeColor="text1" w:themeTint="D9"/>
        </w:rPr>
        <w:t xml:space="preserve">►  </w:t>
      </w:r>
      <w:r w:rsidRPr="00B34962">
        <w:rPr>
          <w:rFonts w:ascii="Arial" w:hAnsi="Arial" w:cs="Arial"/>
          <w:color w:val="262626" w:themeColor="text1" w:themeTint="D9"/>
        </w:rPr>
        <w:tab/>
        <w:t>Kummerkasten</w:t>
      </w:r>
    </w:p>
    <w:sectPr w:rsidR="009F51A9" w:rsidRPr="00B34962"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1A9" w:rsidRDefault="009F51A9" w:rsidP="005462C7">
      <w:pPr>
        <w:spacing w:after="0" w:line="240" w:lineRule="auto"/>
      </w:pPr>
      <w:r>
        <w:separator/>
      </w:r>
    </w:p>
  </w:endnote>
  <w:endnote w:type="continuationSeparator" w:id="0">
    <w:p w:rsidR="009F51A9" w:rsidRDefault="009F51A9"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1A9" w:rsidRPr="00F77B2A" w:rsidRDefault="009D4A4E" w:rsidP="00A87844">
    <w:pPr>
      <w:pStyle w:val="Fuzeile"/>
      <w:tabs>
        <w:tab w:val="clear" w:pos="9072"/>
        <w:tab w:val="left" w:pos="8931"/>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5.4pt;margin-top:.35pt;width:107.6pt;height:11.65pt;z-index:251673600" stroked="f">
          <v:textbox style="mso-next-textbox:#_x0000_s2261" inset="0,0,0,0">
            <w:txbxContent>
              <w:p w:rsidR="00A87844" w:rsidRPr="00BC335C" w:rsidRDefault="00A87844" w:rsidP="00A87844">
                <w:pPr>
                  <w:jc w:val="right"/>
                  <w:rPr>
                    <w:rFonts w:ascii="Arial" w:hAnsi="Arial" w:cs="Arial"/>
                    <w:sz w:val="18"/>
                  </w:rPr>
                </w:pPr>
                <w:r w:rsidRPr="00BC335C">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 o:connectortype="straight" strokecolor="#666" strokeweight=".5pt"/>
      </w:pict>
    </w:r>
    <w:r w:rsidR="005C56C1" w:rsidRPr="00F77B2A">
      <w:rPr>
        <w:rFonts w:ascii="Arial" w:hAnsi="Arial" w:cs="Arial"/>
        <w:color w:val="666666"/>
        <w:sz w:val="18"/>
      </w:rPr>
      <w:fldChar w:fldCharType="begin"/>
    </w:r>
    <w:r w:rsidR="009F51A9" w:rsidRPr="00F77B2A">
      <w:rPr>
        <w:rFonts w:ascii="Arial" w:hAnsi="Arial" w:cs="Arial"/>
        <w:color w:val="666666"/>
        <w:sz w:val="18"/>
      </w:rPr>
      <w:instrText xml:space="preserve"> PAGE   \* MERGEFORMAT </w:instrText>
    </w:r>
    <w:r w:rsidR="005C56C1" w:rsidRPr="00F77B2A">
      <w:rPr>
        <w:rFonts w:ascii="Arial" w:hAnsi="Arial" w:cs="Arial"/>
        <w:color w:val="666666"/>
        <w:sz w:val="18"/>
      </w:rPr>
      <w:fldChar w:fldCharType="separate"/>
    </w:r>
    <w:r w:rsidR="00997DCE">
      <w:rPr>
        <w:rFonts w:ascii="Arial" w:hAnsi="Arial" w:cs="Arial"/>
        <w:noProof/>
        <w:color w:val="666666"/>
        <w:sz w:val="18"/>
      </w:rPr>
      <w:t>2</w:t>
    </w:r>
    <w:r w:rsidR="005C56C1"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1A9" w:rsidRPr="00F77B2A" w:rsidRDefault="009D4A4E"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9F51A9" w:rsidRPr="00BC335C" w:rsidRDefault="009F51A9" w:rsidP="0033031A">
                <w:pPr>
                  <w:jc w:val="right"/>
                  <w:rPr>
                    <w:rFonts w:ascii="Arial" w:hAnsi="Arial" w:cs="Arial"/>
                    <w:sz w:val="18"/>
                  </w:rPr>
                </w:pPr>
                <w:r w:rsidRPr="00BC335C">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5C56C1" w:rsidRPr="00F77B2A">
      <w:rPr>
        <w:rFonts w:ascii="Arial" w:hAnsi="Arial" w:cs="Arial"/>
        <w:color w:val="666666"/>
        <w:sz w:val="18"/>
      </w:rPr>
      <w:fldChar w:fldCharType="begin"/>
    </w:r>
    <w:r w:rsidR="009F51A9" w:rsidRPr="00F77B2A">
      <w:rPr>
        <w:rFonts w:ascii="Arial" w:hAnsi="Arial" w:cs="Arial"/>
        <w:color w:val="666666"/>
        <w:sz w:val="18"/>
      </w:rPr>
      <w:instrText xml:space="preserve"> PAGE   \* MERGEFORMAT </w:instrText>
    </w:r>
    <w:r w:rsidR="005C56C1" w:rsidRPr="00F77B2A">
      <w:rPr>
        <w:rFonts w:ascii="Arial" w:hAnsi="Arial" w:cs="Arial"/>
        <w:color w:val="666666"/>
        <w:sz w:val="18"/>
      </w:rPr>
      <w:fldChar w:fldCharType="separate"/>
    </w:r>
    <w:r w:rsidR="00997DCE">
      <w:rPr>
        <w:rFonts w:ascii="Arial" w:hAnsi="Arial" w:cs="Arial"/>
        <w:noProof/>
        <w:color w:val="666666"/>
        <w:sz w:val="18"/>
      </w:rPr>
      <w:t>1</w:t>
    </w:r>
    <w:r w:rsidR="005C56C1"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1A9" w:rsidRDefault="009F51A9" w:rsidP="005462C7">
      <w:pPr>
        <w:spacing w:after="0" w:line="240" w:lineRule="auto"/>
      </w:pPr>
      <w:r>
        <w:separator/>
      </w:r>
    </w:p>
  </w:footnote>
  <w:footnote w:type="continuationSeparator" w:id="0">
    <w:p w:rsidR="009F51A9" w:rsidRDefault="009F51A9"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1A9" w:rsidRDefault="009D4A4E"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9F51A9" w:rsidRPr="006B13E2" w:rsidRDefault="00BC335C"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3" type="#_x0000_t202" style="position:absolute;margin-left:4.4pt;margin-top:2pt;width:390.1pt;height:31.75pt;z-index:251670528;mso-height-percent:200;mso-height-percent:200;mso-width-relative:margin;mso-height-relative:margin" stroked="f">
          <v:textbox style="mso-next-textbox:#_x0000_s2253;mso-fit-shape-to-text:t" inset="0,0,0,0">
            <w:txbxContent>
              <w:p w:rsidR="009F51A9" w:rsidRPr="00A87844" w:rsidRDefault="009F51A9" w:rsidP="00DC17C9">
                <w:pPr>
                  <w:spacing w:after="0"/>
                  <w:rPr>
                    <w:b/>
                  </w:rPr>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Pr="00BC335C">
                  <w:rPr>
                    <w:rFonts w:ascii="Arial" w:hAnsi="Arial" w:cs="Arial"/>
                    <w:b/>
                    <w:sz w:val="24"/>
                    <w:szCs w:val="24"/>
                  </w:rPr>
                  <w:t xml:space="preserve">Interne Kommunikation </w:t>
                </w:r>
                <w:r w:rsidR="00BC335C">
                  <w:rPr>
                    <w:rFonts w:ascii="Arial" w:hAnsi="Arial" w:cs="Arial"/>
                    <w:b/>
                    <w:sz w:val="24"/>
                    <w:szCs w:val="24"/>
                  </w:rPr>
                  <w:t>-</w:t>
                </w:r>
                <w:r w:rsidRPr="00BC335C">
                  <w:rPr>
                    <w:rFonts w:ascii="Arial" w:hAnsi="Arial" w:cs="Arial"/>
                    <w:b/>
                    <w:sz w:val="24"/>
                    <w:szCs w:val="24"/>
                  </w:rPr>
                  <w:t xml:space="preserve"> Ziele und Möglichkeiten</w:t>
                </w:r>
              </w:p>
            </w:txbxContent>
          </v:textbox>
        </v:shape>
      </w:pict>
    </w:r>
    <w:r w:rsidR="009D4A4E">
      <w:rPr>
        <w:rFonts w:ascii="Arial" w:hAnsi="Arial" w:cs="Arial"/>
        <w:noProof/>
        <w:sz w:val="18"/>
        <w:lang w:eastAsia="de-DE"/>
      </w:rPr>
      <w:pict>
        <v:shape id="_x0000_s2252" type="#_x0000_t202" style="position:absolute;margin-left:403.7pt;margin-top:5.7pt;width:52.85pt;height:11.65pt;z-index:251669504" stroked="f">
          <v:textbox style="mso-next-textbox:#_x0000_s2252" inset="0,0,0,0">
            <w:txbxContent>
              <w:p w:rsidR="009F51A9" w:rsidRPr="00391349" w:rsidRDefault="009F51A9" w:rsidP="00DC17C9">
                <w:pPr>
                  <w:jc w:val="right"/>
                  <w:rPr>
                    <w:rFonts w:ascii="Arial" w:hAnsi="Arial" w:cs="Arial"/>
                    <w:sz w:val="18"/>
                  </w:rPr>
                </w:pPr>
                <w:r>
                  <w:rPr>
                    <w:rFonts w:ascii="Arial" w:hAnsi="Arial" w:cs="Arial"/>
                    <w:sz w:val="18"/>
                  </w:rPr>
                  <w:t>Kapitel 2.2</w:t>
                </w:r>
              </w:p>
            </w:txbxContent>
          </v:textbox>
        </v:shape>
      </w:pict>
    </w:r>
  </w:p>
  <w:p w:rsidR="009F51A9" w:rsidRPr="006B13E2" w:rsidRDefault="009D4A4E"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9F51A9" w:rsidRPr="00F77B2A" w:rsidRDefault="009D4A4E"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1A9" w:rsidRDefault="009D4A4E"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9F51A9" w:rsidRPr="006B13E2" w:rsidRDefault="009D4A4E"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9F51A9" w:rsidRPr="00BC335C" w:rsidRDefault="009F51A9" w:rsidP="00FE5501">
                <w:pPr>
                  <w:autoSpaceDE w:val="0"/>
                  <w:autoSpaceDN w:val="0"/>
                  <w:adjustRightInd w:val="0"/>
                  <w:spacing w:after="0" w:line="240" w:lineRule="auto"/>
                  <w:rPr>
                    <w:rFonts w:ascii="Arial" w:hAnsi="Arial" w:cs="Arial"/>
                    <w:b/>
                    <w:bCs/>
                    <w:color w:val="333333"/>
                    <w:sz w:val="24"/>
                    <w:szCs w:val="24"/>
                    <w:lang w:eastAsia="de-DE"/>
                  </w:rPr>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BC335C" w:rsidRPr="00BC335C">
                  <w:rPr>
                    <w:rFonts w:ascii="Arial" w:hAnsi="Arial" w:cs="Arial"/>
                    <w:b/>
                    <w:bCs/>
                    <w:color w:val="333333"/>
                    <w:sz w:val="24"/>
                    <w:szCs w:val="24"/>
                    <w:lang w:eastAsia="de-DE"/>
                  </w:rPr>
                  <w:t xml:space="preserve">Interne Kommunikation </w:t>
                </w:r>
                <w:r w:rsidR="00BC335C">
                  <w:rPr>
                    <w:rFonts w:ascii="Arial" w:hAnsi="Arial" w:cs="Arial"/>
                    <w:b/>
                    <w:bCs/>
                    <w:color w:val="333333"/>
                    <w:sz w:val="24"/>
                    <w:szCs w:val="24"/>
                    <w:lang w:eastAsia="de-DE"/>
                  </w:rPr>
                  <w:t>-</w:t>
                </w:r>
                <w:r w:rsidR="00BC335C" w:rsidRPr="00BC335C">
                  <w:rPr>
                    <w:rFonts w:ascii="Arial" w:hAnsi="Arial" w:cs="Arial"/>
                    <w:b/>
                    <w:bCs/>
                    <w:color w:val="333333"/>
                    <w:sz w:val="24"/>
                    <w:szCs w:val="24"/>
                    <w:lang w:eastAsia="de-DE"/>
                  </w:rPr>
                  <w:t xml:space="preserve"> Ziele und Möglichkeiten</w:t>
                </w:r>
              </w:p>
              <w:p w:rsidR="009F51A9" w:rsidRPr="00BC335C" w:rsidRDefault="009F51A9" w:rsidP="00F77B2A">
                <w:pPr>
                  <w:spacing w:after="0"/>
                  <w:rPr>
                    <w:sz w:val="24"/>
                    <w:szCs w:val="24"/>
                  </w:rPr>
                </w:pP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9F51A9" w:rsidRPr="00391349" w:rsidRDefault="00997DCE" w:rsidP="008913D5">
                <w:pPr>
                  <w:jc w:val="right"/>
                  <w:rPr>
                    <w:rFonts w:ascii="Arial" w:hAnsi="Arial" w:cs="Arial"/>
                    <w:sz w:val="18"/>
                  </w:rPr>
                </w:pPr>
                <w:r>
                  <w:rPr>
                    <w:rFonts w:ascii="Arial" w:hAnsi="Arial" w:cs="Arial"/>
                    <w:sz w:val="18"/>
                  </w:rPr>
                  <w:t xml:space="preserve">Kapitel </w:t>
                </w:r>
                <w:r w:rsidR="009D4A4E">
                  <w:rPr>
                    <w:rFonts w:ascii="Arial" w:hAnsi="Arial" w:cs="Arial"/>
                    <w:sz w:val="18"/>
                  </w:rPr>
                  <w:t>2</w:t>
                </w:r>
                <w:r w:rsidR="009F51A9">
                  <w:rPr>
                    <w:rFonts w:ascii="Arial" w:hAnsi="Arial" w:cs="Arial"/>
                    <w:sz w:val="18"/>
                  </w:rPr>
                  <w:t>.2</w:t>
                </w:r>
              </w:p>
            </w:txbxContent>
          </v:textbox>
        </v:shape>
      </w:pict>
    </w:r>
  </w:p>
  <w:p w:rsidR="009F51A9" w:rsidRPr="006B13E2" w:rsidRDefault="009D4A4E"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9F51A9" w:rsidRPr="00A0005B" w:rsidRDefault="009D4A4E"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9F51A9" w:rsidRDefault="009F51A9" w:rsidP="00F77B2A">
    <w:pPr>
      <w:pStyle w:val="Kopfzeile"/>
      <w:rPr>
        <w:rFonts w:ascii="Arial" w:hAnsi="Arial" w:cs="Arial"/>
        <w:noProof/>
        <w:sz w:val="18"/>
        <w:lang w:eastAsia="de-DE"/>
      </w:rPr>
    </w:pPr>
  </w:p>
  <w:p w:rsidR="009F51A9" w:rsidRPr="00294F4D" w:rsidRDefault="009F51A9" w:rsidP="00F77B2A">
    <w:pPr>
      <w:pStyle w:val="Kopfzeile"/>
      <w:rPr>
        <w:rFonts w:ascii="Arial" w:hAnsi="Arial" w:cs="Arial"/>
        <w:noProof/>
        <w:sz w:val="18"/>
        <w:lang w:eastAsia="de-DE"/>
      </w:rPr>
    </w:pPr>
  </w:p>
  <w:p w:rsidR="009F51A9" w:rsidRDefault="009F51A9" w:rsidP="00FE5501">
    <w:pPr>
      <w:autoSpaceDE w:val="0"/>
      <w:autoSpaceDN w:val="0"/>
      <w:adjustRightInd w:val="0"/>
      <w:spacing w:after="0" w:line="240" w:lineRule="auto"/>
      <w:rPr>
        <w:rFonts w:ascii="Arial" w:hAnsi="Arial" w:cs="Arial"/>
        <w:b/>
        <w:bCs/>
        <w:color w:val="333333"/>
        <w:sz w:val="56"/>
        <w:szCs w:val="56"/>
        <w:lang w:eastAsia="de-DE"/>
      </w:rPr>
    </w:pPr>
    <w:r>
      <w:rPr>
        <w:rFonts w:ascii="Arial" w:hAnsi="Arial" w:cs="Arial"/>
        <w:b/>
        <w:bCs/>
        <w:color w:val="333333"/>
        <w:sz w:val="56"/>
        <w:szCs w:val="56"/>
        <w:lang w:eastAsia="de-DE"/>
      </w:rPr>
      <w:t>Interne Kommunikation –</w:t>
    </w:r>
  </w:p>
  <w:p w:rsidR="009F51A9" w:rsidRPr="00BC335C" w:rsidRDefault="009F51A9" w:rsidP="00FE5501">
    <w:pPr>
      <w:autoSpaceDE w:val="0"/>
      <w:autoSpaceDN w:val="0"/>
      <w:adjustRightInd w:val="0"/>
      <w:spacing w:after="0" w:line="240" w:lineRule="auto"/>
      <w:rPr>
        <w:rFonts w:ascii="Arial" w:hAnsi="Arial" w:cs="Arial"/>
        <w:b/>
        <w:sz w:val="56"/>
        <w:szCs w:val="56"/>
      </w:rPr>
    </w:pPr>
    <w:r>
      <w:rPr>
        <w:rFonts w:ascii="Arial" w:hAnsi="Arial" w:cs="Arial"/>
        <w:b/>
        <w:bCs/>
        <w:color w:val="333333"/>
        <w:sz w:val="56"/>
        <w:szCs w:val="56"/>
        <w:lang w:eastAsia="de-DE"/>
      </w:rPr>
      <w:t>Ziele und Möglichkeiten</w:t>
    </w:r>
  </w:p>
  <w:p w:rsidR="009F51A9" w:rsidRDefault="009F51A9" w:rsidP="00F77B2A">
    <w:pPr>
      <w:pStyle w:val="Kopfzeile"/>
      <w:rPr>
        <w:rFonts w:ascii="Arial" w:hAnsi="Arial" w:cs="Arial"/>
        <w:sz w:val="18"/>
      </w:rPr>
    </w:pPr>
  </w:p>
  <w:p w:rsidR="009F51A9" w:rsidRPr="00F77B2A" w:rsidRDefault="009F51A9">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186"/>
        <o:r id="V:Rule24" type="connector" idref="#_x0000_s2234"/>
        <o:r id="V:Rule25" type="connector" idref="#_x0000_s2235"/>
        <o:r id="V:Rule26" type="connector" idref="#_x0000_s2250"/>
        <o:r id="V:Rule27" type="connector" idref="#_x0000_s2226"/>
        <o:r id="V:Rule28" type="connector" idref="#_x0000_s2229"/>
        <o:r id="V:Rule29" type="connector" idref="#_x0000_s2242"/>
        <o:r id="V:Rule30" type="connector" idref="#_x0000_s2240"/>
        <o:r id="V:Rule31" type="connector" idref="#_x0000_s2232"/>
        <o:r id="V:Rule32" type="connector" idref="#_x0000_s2245"/>
        <o:r id="V:Rule33" type="connector" idref="#_x0000_s2185"/>
        <o:r id="V:Rule34" type="connector" idref="#_x0000_s2233"/>
        <o:r id="V:Rule35" type="connector" idref="#_x0000_s2247"/>
        <o:r id="V:Rule36" type="connector" idref="#_x0000_s2254"/>
        <o:r id="V:Rule37" type="connector" idref="#_x0000_s2228"/>
        <o:r id="V:Rule38" type="connector" idref="#_x0000_s2224"/>
        <o:r id="V:Rule39" type="connector" idref="#_x0000_s2248"/>
        <o:r id="V:Rule40" type="connector" idref="#_x0000_s2231"/>
        <o:r id="V:Rule41" type="connector" idref="#_x0000_s2243"/>
        <o:r id="V:Rule42" type="connector" idref="#_x0000_s2251"/>
        <o:r id="V:Rule43" type="connector" idref="#_x0000_s2238"/>
        <o:r id="V:Rule44" type="connector" idref="#_x0000_s22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E3D95"/>
    <w:rsid w:val="003E3D98"/>
    <w:rsid w:val="00404C1D"/>
    <w:rsid w:val="0044753D"/>
    <w:rsid w:val="004809BA"/>
    <w:rsid w:val="004F7B06"/>
    <w:rsid w:val="005058C8"/>
    <w:rsid w:val="005363DC"/>
    <w:rsid w:val="005462C7"/>
    <w:rsid w:val="00566688"/>
    <w:rsid w:val="005A127B"/>
    <w:rsid w:val="005C56C1"/>
    <w:rsid w:val="005E0F6E"/>
    <w:rsid w:val="005F018D"/>
    <w:rsid w:val="005F119B"/>
    <w:rsid w:val="00646CEC"/>
    <w:rsid w:val="0065200D"/>
    <w:rsid w:val="00682A97"/>
    <w:rsid w:val="006B13E2"/>
    <w:rsid w:val="006F1021"/>
    <w:rsid w:val="00770F9B"/>
    <w:rsid w:val="0077798A"/>
    <w:rsid w:val="00780A70"/>
    <w:rsid w:val="00791C5C"/>
    <w:rsid w:val="00814866"/>
    <w:rsid w:val="008215CB"/>
    <w:rsid w:val="00872CD0"/>
    <w:rsid w:val="00882885"/>
    <w:rsid w:val="008913D5"/>
    <w:rsid w:val="008A2C07"/>
    <w:rsid w:val="008B6086"/>
    <w:rsid w:val="008B79B2"/>
    <w:rsid w:val="008C3BEC"/>
    <w:rsid w:val="008C7E3B"/>
    <w:rsid w:val="008D7BEB"/>
    <w:rsid w:val="009159E0"/>
    <w:rsid w:val="00915FE4"/>
    <w:rsid w:val="00997DCE"/>
    <w:rsid w:val="009D4A4E"/>
    <w:rsid w:val="009D5D6D"/>
    <w:rsid w:val="009D6527"/>
    <w:rsid w:val="009F51A9"/>
    <w:rsid w:val="00A0005B"/>
    <w:rsid w:val="00A044C0"/>
    <w:rsid w:val="00A54075"/>
    <w:rsid w:val="00A641A7"/>
    <w:rsid w:val="00A75BBB"/>
    <w:rsid w:val="00A87844"/>
    <w:rsid w:val="00AC2E1B"/>
    <w:rsid w:val="00B27EA1"/>
    <w:rsid w:val="00B34962"/>
    <w:rsid w:val="00B521DE"/>
    <w:rsid w:val="00B71060"/>
    <w:rsid w:val="00BB12AA"/>
    <w:rsid w:val="00BB38E1"/>
    <w:rsid w:val="00BC335C"/>
    <w:rsid w:val="00C144C5"/>
    <w:rsid w:val="00C22ECF"/>
    <w:rsid w:val="00C32D19"/>
    <w:rsid w:val="00C34E28"/>
    <w:rsid w:val="00C54DE0"/>
    <w:rsid w:val="00C76FC2"/>
    <w:rsid w:val="00CE33F5"/>
    <w:rsid w:val="00D147F1"/>
    <w:rsid w:val="00D56762"/>
    <w:rsid w:val="00D64C44"/>
    <w:rsid w:val="00D71EF6"/>
    <w:rsid w:val="00DC17C9"/>
    <w:rsid w:val="00E0648F"/>
    <w:rsid w:val="00E06CF0"/>
    <w:rsid w:val="00E213DB"/>
    <w:rsid w:val="00E24B4F"/>
    <w:rsid w:val="00E975B4"/>
    <w:rsid w:val="00EB6FC6"/>
    <w:rsid w:val="00F0534C"/>
    <w:rsid w:val="00F25A58"/>
    <w:rsid w:val="00F31B10"/>
    <w:rsid w:val="00F55907"/>
    <w:rsid w:val="00F77B2A"/>
    <w:rsid w:val="00FC6B13"/>
    <w:rsid w:val="00FD161E"/>
    <w:rsid w:val="00FE5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05F0C4EF"/>
  <w15:docId w15:val="{7E87A955-0E9F-449F-9023-F3AB921A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C0888-6A51-482E-A01E-8E4A3513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6</cp:revision>
  <cp:lastPrinted>2014-01-08T06:57:00Z</cp:lastPrinted>
  <dcterms:created xsi:type="dcterms:W3CDTF">2018-10-17T09:21:00Z</dcterms:created>
  <dcterms:modified xsi:type="dcterms:W3CDTF">2019-04-05T13:10:00Z</dcterms:modified>
</cp:coreProperties>
</file>