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01" w:rsidRDefault="00FE5501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B34962">
        <w:rPr>
          <w:rFonts w:ascii="Arial" w:hAnsi="Arial" w:cs="Arial"/>
          <w:b/>
          <w:color w:val="262626" w:themeColor="text1" w:themeTint="D9"/>
          <w:sz w:val="24"/>
          <w:szCs w:val="24"/>
        </w:rPr>
        <w:t>Beschreibung</w:t>
      </w:r>
      <w:r w:rsidR="00ED149D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D52CED" w:rsidRPr="00ED149D" w:rsidRDefault="00D52CED" w:rsidP="00ED149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ED149D">
        <w:rPr>
          <w:rFonts w:ascii="Arial" w:hAnsi="Arial" w:cs="Arial"/>
          <w:lang w:eastAsia="de-DE"/>
        </w:rPr>
        <w:t xml:space="preserve">Die Betriebsbesichtigung ist eine Vorgehensweise, mit der Unterrichtsinhalte und </w:t>
      </w:r>
      <w:r w:rsidR="00B97261">
        <w:rPr>
          <w:rFonts w:ascii="Arial" w:hAnsi="Arial" w:cs="Arial"/>
          <w:lang w:eastAsia="de-DE"/>
        </w:rPr>
        <w:t>-</w:t>
      </w:r>
      <w:r w:rsidRPr="00ED149D">
        <w:rPr>
          <w:rFonts w:ascii="Arial" w:hAnsi="Arial" w:cs="Arial"/>
          <w:lang w:eastAsia="de-DE"/>
        </w:rPr>
        <w:t>fragen</w:t>
      </w:r>
      <w:r w:rsidR="00B97261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durch unmittelbare Beobachtung veranschaulicht werden. Die Schülerinnen und Schüler</w:t>
      </w:r>
      <w:r w:rsidR="00B97261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sammeln Eindrücke außerhalb der Schule, die dann im Unterricht verarbeitet werden. Im Gegensatz zur Betriebserkundung beobachten die Jugendlichen bei der Betriebsbesichtigung</w:t>
      </w:r>
      <w:r w:rsidR="00B97261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den gesamten Betrieb mit geringer Zielorientierung. Insofern bleibt die Betriebsbesichtigung oberflächlicher als die Betriebserkundung.</w:t>
      </w:r>
    </w:p>
    <w:p w:rsidR="00D52CED" w:rsidRPr="00ED149D" w:rsidRDefault="00D52CED" w:rsidP="00ED149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ED149D">
        <w:rPr>
          <w:rFonts w:ascii="Arial" w:hAnsi="Arial" w:cs="Arial"/>
          <w:lang w:eastAsia="de-DE"/>
        </w:rPr>
        <w:t>Bei der Betriebsbesichtigung besucht die ganze Klasse einen Betrieb und lernt mehrere</w:t>
      </w:r>
      <w:r w:rsid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Arbeitsplätze und Situationen des Arbeitslebens durch reines Beobachten anhand einer</w:t>
      </w:r>
      <w:r w:rsid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konkreten Beobachtungsaufgabe kennen. Die Schülerinnen und Schüler erkunden dabei</w:t>
      </w:r>
      <w:r w:rsid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nicht aktiv.</w:t>
      </w:r>
      <w:r w:rsidR="00ED149D">
        <w:rPr>
          <w:rFonts w:ascii="Arial" w:hAnsi="Arial" w:cs="Arial"/>
          <w:lang w:eastAsia="de-DE"/>
        </w:rPr>
        <w:t xml:space="preserve"> </w:t>
      </w:r>
    </w:p>
    <w:p w:rsidR="00FE5501" w:rsidRPr="00B34962" w:rsidRDefault="00D52CED" w:rsidP="00B97261">
      <w:pPr>
        <w:spacing w:before="12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Ziel</w:t>
      </w:r>
      <w:r w:rsidR="00ED149D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9F51A9" w:rsidRPr="00ED149D" w:rsidRDefault="00FE5501" w:rsidP="009F51A9">
      <w:pPr>
        <w:spacing w:after="240" w:line="320" w:lineRule="exact"/>
        <w:rPr>
          <w:rFonts w:ascii="Arial" w:hAnsi="Arial" w:cs="Arial"/>
          <w:color w:val="262626" w:themeColor="text1" w:themeTint="D9"/>
        </w:rPr>
      </w:pPr>
      <w:r w:rsidRPr="00ED149D">
        <w:rPr>
          <w:rFonts w:ascii="Arial" w:hAnsi="Arial" w:cs="Arial"/>
          <w:b/>
          <w:color w:val="262626" w:themeColor="text1" w:themeTint="D9"/>
        </w:rPr>
        <w:t>►</w:t>
      </w:r>
      <w:r w:rsidR="009F51A9" w:rsidRPr="00ED149D">
        <w:rPr>
          <w:rFonts w:ascii="Arial" w:hAnsi="Arial" w:cs="Arial"/>
          <w:b/>
          <w:color w:val="262626" w:themeColor="text1" w:themeTint="D9"/>
        </w:rPr>
        <w:tab/>
      </w:r>
      <w:r w:rsidR="00D52CED" w:rsidRPr="00ED149D">
        <w:rPr>
          <w:rFonts w:ascii="Arial" w:hAnsi="Arial" w:cs="Arial"/>
          <w:color w:val="262626" w:themeColor="text1" w:themeTint="D9"/>
        </w:rPr>
        <w:t>praktische Veranschaulichung der Arbeitswelt</w:t>
      </w:r>
      <w:r w:rsidR="00ED149D">
        <w:rPr>
          <w:rFonts w:ascii="Arial" w:hAnsi="Arial" w:cs="Arial"/>
          <w:color w:val="262626" w:themeColor="text1" w:themeTint="D9"/>
        </w:rPr>
        <w:t xml:space="preserve"> </w:t>
      </w:r>
    </w:p>
    <w:p w:rsidR="009F51A9" w:rsidRPr="00B34962" w:rsidRDefault="00D52CED" w:rsidP="00B97261">
      <w:pPr>
        <w:spacing w:before="120" w:line="320" w:lineRule="exact"/>
        <w:ind w:left="284" w:hanging="284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</w:rPr>
        <w:t>Beteiligte</w:t>
      </w:r>
      <w:r w:rsidR="00ED149D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9F51A9" w:rsidRPr="00ED149D" w:rsidRDefault="009F51A9" w:rsidP="009F51A9">
      <w:pPr>
        <w:spacing w:after="240" w:line="320" w:lineRule="exact"/>
        <w:ind w:left="284" w:hanging="284"/>
        <w:rPr>
          <w:rFonts w:ascii="Arial" w:hAnsi="Arial" w:cs="Arial"/>
          <w:color w:val="262626" w:themeColor="text1" w:themeTint="D9"/>
        </w:rPr>
      </w:pPr>
      <w:r w:rsidRPr="00ED149D">
        <w:rPr>
          <w:rFonts w:ascii="Arial" w:hAnsi="Arial" w:cs="Arial"/>
          <w:color w:val="262626" w:themeColor="text1" w:themeTint="D9"/>
        </w:rPr>
        <w:t>►</w:t>
      </w:r>
      <w:r w:rsidR="00D52CED" w:rsidRPr="00ED149D">
        <w:rPr>
          <w:rFonts w:ascii="Arial" w:hAnsi="Arial" w:cs="Arial"/>
          <w:color w:val="262626" w:themeColor="text1" w:themeTint="D9"/>
        </w:rPr>
        <w:tab/>
      </w:r>
      <w:r w:rsidR="00D52CED" w:rsidRPr="00ED149D">
        <w:rPr>
          <w:rFonts w:ascii="Arial" w:hAnsi="Arial" w:cs="Arial"/>
          <w:color w:val="262626" w:themeColor="text1" w:themeTint="D9"/>
        </w:rPr>
        <w:tab/>
        <w:t>Lehrkräfte</w:t>
      </w:r>
    </w:p>
    <w:p w:rsidR="009F51A9" w:rsidRPr="00ED149D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ED149D">
        <w:rPr>
          <w:rFonts w:ascii="Arial" w:hAnsi="Arial" w:cs="Arial"/>
          <w:color w:val="262626" w:themeColor="text1" w:themeTint="D9"/>
        </w:rPr>
        <w:t>►</w:t>
      </w:r>
      <w:r w:rsidR="00ED149D">
        <w:rPr>
          <w:rFonts w:ascii="Arial" w:hAnsi="Arial" w:cs="Arial"/>
          <w:color w:val="262626" w:themeColor="text1" w:themeTint="D9"/>
        </w:rPr>
        <w:tab/>
      </w:r>
      <w:r w:rsidR="00D52CED" w:rsidRPr="00ED149D">
        <w:rPr>
          <w:rFonts w:ascii="Arial" w:hAnsi="Arial" w:cs="Arial"/>
          <w:color w:val="262626" w:themeColor="text1" w:themeTint="D9"/>
        </w:rPr>
        <w:t>Schulklasse</w:t>
      </w:r>
    </w:p>
    <w:p w:rsidR="009F51A9" w:rsidRPr="00ED149D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ED149D">
        <w:rPr>
          <w:rFonts w:ascii="Arial" w:hAnsi="Arial" w:cs="Arial"/>
          <w:color w:val="262626" w:themeColor="text1" w:themeTint="D9"/>
        </w:rPr>
        <w:t>►</w:t>
      </w:r>
      <w:r w:rsidR="00D52CED" w:rsidRPr="00ED149D">
        <w:rPr>
          <w:rFonts w:ascii="Arial" w:hAnsi="Arial" w:cs="Arial"/>
          <w:color w:val="262626" w:themeColor="text1" w:themeTint="D9"/>
        </w:rPr>
        <w:tab/>
        <w:t>Unternehmen und öffentliche Einrichtungen</w:t>
      </w:r>
    </w:p>
    <w:p w:rsidR="00007F3B" w:rsidRPr="00ED149D" w:rsidRDefault="009F51A9" w:rsidP="00D52CED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ED149D">
        <w:rPr>
          <w:rFonts w:ascii="Arial" w:hAnsi="Arial" w:cs="Arial"/>
          <w:color w:val="262626" w:themeColor="text1" w:themeTint="D9"/>
        </w:rPr>
        <w:t>►</w:t>
      </w:r>
      <w:r w:rsidRPr="00ED149D">
        <w:rPr>
          <w:rFonts w:ascii="Arial" w:hAnsi="Arial" w:cs="Arial"/>
          <w:color w:val="262626" w:themeColor="text1" w:themeTint="D9"/>
        </w:rPr>
        <w:tab/>
      </w:r>
      <w:r w:rsidR="00D52CED" w:rsidRPr="00ED149D">
        <w:rPr>
          <w:rFonts w:ascii="Arial" w:hAnsi="Arial" w:cs="Arial"/>
          <w:color w:val="262626" w:themeColor="text1" w:themeTint="D9"/>
        </w:rPr>
        <w:t>Alternativ können Schülerinnen und Schüler Betriebe auch mit ihren Eltern oder</w:t>
      </w:r>
      <w:r w:rsidR="00D52CED">
        <w:rPr>
          <w:rFonts w:ascii="Arial" w:hAnsi="Arial" w:cs="Arial"/>
          <w:color w:val="262626" w:themeColor="text1" w:themeTint="D9"/>
        </w:rPr>
        <w:t xml:space="preserve"> </w:t>
      </w:r>
      <w:r w:rsidR="00D52CED" w:rsidRPr="00ED149D">
        <w:rPr>
          <w:rFonts w:ascii="Arial" w:hAnsi="Arial" w:cs="Arial"/>
          <w:color w:val="262626" w:themeColor="text1" w:themeTint="D9"/>
        </w:rPr>
        <w:t>Bekannten besichtigen.</w:t>
      </w:r>
      <w:r w:rsidR="00ED149D">
        <w:rPr>
          <w:rFonts w:ascii="Arial" w:hAnsi="Arial" w:cs="Arial"/>
          <w:color w:val="262626" w:themeColor="text1" w:themeTint="D9"/>
        </w:rPr>
        <w:t xml:space="preserve"> </w:t>
      </w:r>
    </w:p>
    <w:p w:rsidR="009F51A9" w:rsidRDefault="00D52CED" w:rsidP="005431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  <w:r w:rsidRPr="00ED149D">
        <w:rPr>
          <w:rFonts w:ascii="Arial" w:hAnsi="Arial" w:cs="Arial"/>
          <w:lang w:eastAsia="de-DE"/>
        </w:rPr>
        <w:t>Die Komplexität des Besichtigungsobjekts kann mit dem Entwicklungsstand der</w:t>
      </w:r>
      <w:r w:rsid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Schülerinnen und Schüler wachsen. Beispielsweise ist es in den unteren Klassenstufen (5</w:t>
      </w:r>
      <w:r w:rsidR="00ED149D">
        <w:rPr>
          <w:rFonts w:ascii="Arial" w:hAnsi="Arial" w:cs="Arial"/>
          <w:lang w:eastAsia="de-DE"/>
        </w:rPr>
        <w:t>-</w:t>
      </w:r>
      <w:r w:rsidRPr="00ED149D">
        <w:rPr>
          <w:rFonts w:ascii="Arial" w:hAnsi="Arial" w:cs="Arial"/>
          <w:lang w:eastAsia="de-DE"/>
        </w:rPr>
        <w:t>6)</w:t>
      </w:r>
      <w:r w:rsidR="005431D4" w:rsidRP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sinnvoll, kleinere Betriebe zu besichtigen und nur bestimmte, vorher festgelegte Tätigkeiten</w:t>
      </w:r>
      <w:r w:rsidR="005431D4" w:rsidRPr="00ED149D">
        <w:rPr>
          <w:rFonts w:ascii="Arial" w:hAnsi="Arial" w:cs="Arial"/>
          <w:lang w:eastAsia="de-DE"/>
        </w:rPr>
        <w:t xml:space="preserve"> </w:t>
      </w:r>
      <w:r w:rsidRPr="00ED149D">
        <w:rPr>
          <w:rFonts w:ascii="Arial" w:hAnsi="Arial" w:cs="Arial"/>
          <w:lang w:eastAsia="de-DE"/>
        </w:rPr>
        <w:t>zu beobachten.</w:t>
      </w:r>
    </w:p>
    <w:p w:rsidR="00ED149D" w:rsidRDefault="00ED149D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br w:type="page"/>
      </w:r>
    </w:p>
    <w:p w:rsidR="00ED149D" w:rsidRPr="00ED149D" w:rsidRDefault="00ED149D" w:rsidP="005431D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de-DE"/>
        </w:rPr>
      </w:pPr>
    </w:p>
    <w:p w:rsidR="009F51A9" w:rsidRPr="0005774B" w:rsidRDefault="005431D4" w:rsidP="009F51A9">
      <w:pPr>
        <w:spacing w:after="240" w:line="320" w:lineRule="exact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5774B">
        <w:rPr>
          <w:rFonts w:ascii="Arial" w:hAnsi="Arial" w:cs="Arial"/>
          <w:b/>
          <w:color w:val="262626" w:themeColor="text1" w:themeTint="D9"/>
          <w:sz w:val="24"/>
          <w:szCs w:val="24"/>
        </w:rPr>
        <w:t>Beispielhafter Ablauf einer Betriebsbesichtigung</w:t>
      </w:r>
    </w:p>
    <w:p w:rsidR="009F51A9" w:rsidRPr="005431D4" w:rsidRDefault="009F51A9" w:rsidP="00B97261">
      <w:pPr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 w:rsidR="005431D4" w:rsidRPr="005431D4">
        <w:rPr>
          <w:rFonts w:ascii="Arial" w:hAnsi="Arial" w:cs="Arial"/>
          <w:lang w:eastAsia="de-DE"/>
        </w:rPr>
        <w:t>Begrüßung und Einführung der Klasse durch eine Mitarbeiterin oder einen</w:t>
      </w:r>
      <w:r w:rsidR="0005774B">
        <w:rPr>
          <w:rFonts w:ascii="Arial" w:hAnsi="Arial" w:cs="Arial"/>
          <w:lang w:eastAsia="de-DE"/>
        </w:rPr>
        <w:t xml:space="preserve"> </w:t>
      </w:r>
      <w:r w:rsidR="005431D4" w:rsidRPr="005431D4">
        <w:rPr>
          <w:rFonts w:ascii="Arial" w:hAnsi="Arial" w:cs="Arial"/>
          <w:lang w:eastAsia="de-DE"/>
        </w:rPr>
        <w:t>Mitarbeiter des Betriebs, eine kurze Vorstellung des Betriebes, Wiederholen des</w:t>
      </w:r>
      <w:r w:rsidR="0005774B">
        <w:rPr>
          <w:rFonts w:ascii="Arial" w:hAnsi="Arial" w:cs="Arial"/>
          <w:lang w:eastAsia="de-DE"/>
        </w:rPr>
        <w:t xml:space="preserve"> </w:t>
      </w:r>
      <w:r w:rsidR="005431D4" w:rsidRPr="005431D4">
        <w:rPr>
          <w:rFonts w:ascii="Arial" w:hAnsi="Arial" w:cs="Arial"/>
          <w:lang w:eastAsia="de-DE"/>
        </w:rPr>
        <w:t>Beobachtungsauftrags</w:t>
      </w:r>
      <w:r w:rsidR="00ED149D">
        <w:rPr>
          <w:rFonts w:ascii="Arial" w:hAnsi="Arial" w:cs="Arial"/>
          <w:lang w:eastAsia="de-DE"/>
        </w:rPr>
        <w:t xml:space="preserve"> </w:t>
      </w:r>
    </w:p>
    <w:p w:rsidR="009F51A9" w:rsidRDefault="009F51A9" w:rsidP="00B97261">
      <w:pPr>
        <w:spacing w:line="320" w:lineRule="exact"/>
        <w:ind w:left="567" w:hanging="567"/>
        <w:rPr>
          <w:rFonts w:ascii="Arial" w:hAnsi="Arial" w:cs="Arial"/>
          <w:lang w:eastAsia="de-DE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 w:rsidR="005431D4" w:rsidRPr="005431D4">
        <w:rPr>
          <w:rFonts w:ascii="Arial" w:hAnsi="Arial" w:cs="Arial"/>
          <w:lang w:eastAsia="de-DE"/>
        </w:rPr>
        <w:t>Betriebsbesichtigung, Dauer: 1–2 Stunden</w:t>
      </w:r>
      <w:r w:rsidR="0005774B">
        <w:rPr>
          <w:rFonts w:ascii="Arial" w:hAnsi="Arial" w:cs="Arial"/>
          <w:lang w:eastAsia="de-DE"/>
        </w:rPr>
        <w:t xml:space="preserve"> </w:t>
      </w:r>
    </w:p>
    <w:p w:rsidR="0005774B" w:rsidRPr="0005774B" w:rsidRDefault="0005774B" w:rsidP="0005774B">
      <w:pPr>
        <w:spacing w:after="240" w:line="320" w:lineRule="exact"/>
        <w:ind w:left="567" w:hanging="567"/>
        <w:rPr>
          <w:rFonts w:ascii="Arial" w:hAnsi="Arial" w:cs="Arial"/>
          <w:lang w:eastAsia="de-DE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>
        <w:rPr>
          <w:rFonts w:ascii="Arial" w:hAnsi="Arial" w:cs="Arial"/>
          <w:color w:val="262626" w:themeColor="text1" w:themeTint="D9"/>
        </w:rPr>
        <w:tab/>
        <w:t xml:space="preserve">Abschlussgespräch: offene Fragen </w:t>
      </w:r>
    </w:p>
    <w:p w:rsidR="005431D4" w:rsidRPr="0005774B" w:rsidRDefault="005431D4" w:rsidP="00B97261">
      <w:pPr>
        <w:spacing w:before="120" w:line="320" w:lineRule="exact"/>
        <w:ind w:left="567" w:hanging="567"/>
        <w:rPr>
          <w:rFonts w:ascii="Arial" w:hAnsi="Arial" w:cs="Arial"/>
          <w:sz w:val="24"/>
          <w:szCs w:val="24"/>
          <w:lang w:eastAsia="de-DE"/>
        </w:rPr>
      </w:pPr>
      <w:r w:rsidRPr="0005774B">
        <w:rPr>
          <w:rFonts w:ascii="Arial" w:hAnsi="Arial" w:cs="Arial"/>
          <w:b/>
          <w:color w:val="262626" w:themeColor="text1" w:themeTint="D9"/>
          <w:sz w:val="24"/>
          <w:szCs w:val="24"/>
        </w:rPr>
        <w:t>Vorbereitung</w:t>
      </w:r>
      <w:r w:rsidR="0005774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5431D4" w:rsidRDefault="005431D4" w:rsidP="0005774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lang w:eastAsia="de-DE"/>
        </w:rPr>
      </w:pPr>
      <w:r w:rsidRPr="005431D4">
        <w:rPr>
          <w:rFonts w:ascii="Arial" w:hAnsi="Arial" w:cs="Arial"/>
          <w:lang w:eastAsia="de-DE"/>
        </w:rPr>
        <w:t>Im Vorfeld der Betriebsbesichtigung wird der Betrieb mit in die Vorbereitungen einbezogen.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Organisatorische Absprachen werden zwischen Lehrkraft und Betrieb getroffen. Die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verantwortliche Lehrkraft verschafft sich einen Überblick über die betrieblichen Strukturen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und Abläufe.</w:t>
      </w:r>
      <w:r w:rsidR="0005774B">
        <w:rPr>
          <w:rFonts w:ascii="Arial" w:hAnsi="Arial" w:cs="Arial"/>
          <w:lang w:eastAsia="de-DE"/>
        </w:rPr>
        <w:t xml:space="preserve"> </w:t>
      </w:r>
    </w:p>
    <w:p w:rsidR="005431D4" w:rsidRPr="0005774B" w:rsidRDefault="005431D4" w:rsidP="00B97261">
      <w:pPr>
        <w:spacing w:line="360" w:lineRule="auto"/>
        <w:ind w:left="567" w:hanging="567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5774B">
        <w:rPr>
          <w:rFonts w:ascii="Arial" w:hAnsi="Arial" w:cs="Arial"/>
          <w:b/>
          <w:color w:val="262626" w:themeColor="text1" w:themeTint="D9"/>
          <w:sz w:val="24"/>
          <w:szCs w:val="24"/>
        </w:rPr>
        <w:t>Nachbereitung</w:t>
      </w:r>
      <w:r w:rsidR="0005774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5431D4" w:rsidRPr="005431D4" w:rsidRDefault="005431D4" w:rsidP="0005774B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de-DE"/>
        </w:rPr>
      </w:pPr>
      <w:r w:rsidRPr="005431D4">
        <w:rPr>
          <w:rFonts w:ascii="Arial" w:hAnsi="Arial" w:cs="Arial"/>
          <w:lang w:eastAsia="de-DE"/>
        </w:rPr>
        <w:t>Die Betriebsbesichtigung wird im Unterricht nachbereitet. Das Gesehene und Erlebte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wird mit den Unterrichtsinhalten und den Berufswünschen der Schülerinnen und Schüler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in Zusammenhang gebracht. Offene Fragen werden gestellt und eventuell an den Betrieb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weitergegeben.</w:t>
      </w:r>
      <w:r w:rsidR="0005774B">
        <w:rPr>
          <w:rFonts w:ascii="Arial" w:hAnsi="Arial" w:cs="Arial"/>
          <w:lang w:eastAsia="de-DE"/>
        </w:rPr>
        <w:t xml:space="preserve"> </w:t>
      </w:r>
    </w:p>
    <w:p w:rsidR="005431D4" w:rsidRDefault="005431D4" w:rsidP="0005774B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lang w:eastAsia="de-DE"/>
        </w:rPr>
      </w:pPr>
      <w:r w:rsidRPr="005431D4">
        <w:rPr>
          <w:rFonts w:ascii="Arial" w:hAnsi="Arial" w:cs="Arial"/>
          <w:lang w:eastAsia="de-DE"/>
        </w:rPr>
        <w:t>Zur organisatorischen Unterstützung einer Betriebsbesichtigung kann auf die Materialien</w:t>
      </w:r>
      <w:r w:rsidR="0005774B"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„Betriebsbesichtigung – Lehrkräftecheckliste“ und „Betriebsbesichtigung – Betriebscheckliste“</w:t>
      </w:r>
      <w:r>
        <w:rPr>
          <w:rFonts w:ascii="Arial" w:hAnsi="Arial" w:cs="Arial"/>
          <w:lang w:eastAsia="de-DE"/>
        </w:rPr>
        <w:t xml:space="preserve"> </w:t>
      </w:r>
      <w:r w:rsidRPr="005431D4">
        <w:rPr>
          <w:rFonts w:ascii="Arial" w:hAnsi="Arial" w:cs="Arial"/>
          <w:lang w:eastAsia="de-DE"/>
        </w:rPr>
        <w:t>zurückgegriffen werden.</w:t>
      </w:r>
      <w:r w:rsidR="0005774B">
        <w:rPr>
          <w:rFonts w:ascii="Arial" w:hAnsi="Arial" w:cs="Arial"/>
          <w:lang w:eastAsia="de-DE"/>
        </w:rPr>
        <w:t xml:space="preserve"> </w:t>
      </w:r>
    </w:p>
    <w:p w:rsidR="005431D4" w:rsidRPr="0005774B" w:rsidRDefault="005431D4" w:rsidP="00B97261">
      <w:pPr>
        <w:spacing w:line="360" w:lineRule="auto"/>
        <w:ind w:left="567" w:hanging="567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05774B">
        <w:rPr>
          <w:rFonts w:ascii="Arial" w:hAnsi="Arial" w:cs="Arial"/>
          <w:b/>
          <w:color w:val="262626" w:themeColor="text1" w:themeTint="D9"/>
          <w:sz w:val="24"/>
          <w:szCs w:val="24"/>
        </w:rPr>
        <w:t>Materialien</w:t>
      </w:r>
      <w:r w:rsidR="0005774B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 w:rsidR="005431D4">
        <w:rPr>
          <w:rFonts w:ascii="Arial" w:hAnsi="Arial" w:cs="Arial"/>
          <w:lang w:eastAsia="de-DE"/>
        </w:rPr>
        <w:t>Betriebsbesichtigung – Betriebscheckliste</w:t>
      </w:r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  <w:r w:rsidRPr="00B34962">
        <w:rPr>
          <w:rFonts w:ascii="Arial" w:hAnsi="Arial" w:cs="Arial"/>
          <w:color w:val="262626" w:themeColor="text1" w:themeTint="D9"/>
        </w:rPr>
        <w:t>►</w:t>
      </w:r>
      <w:r w:rsidRPr="00B34962">
        <w:rPr>
          <w:rFonts w:ascii="Arial" w:hAnsi="Arial" w:cs="Arial"/>
          <w:color w:val="262626" w:themeColor="text1" w:themeTint="D9"/>
        </w:rPr>
        <w:tab/>
      </w:r>
      <w:r w:rsidR="005431D4">
        <w:rPr>
          <w:rFonts w:ascii="Arial" w:hAnsi="Arial" w:cs="Arial"/>
          <w:lang w:eastAsia="de-DE"/>
        </w:rPr>
        <w:t>Betriebsbesichtigung –</w:t>
      </w:r>
      <w:r w:rsidR="00ED149D">
        <w:rPr>
          <w:rFonts w:ascii="Arial" w:hAnsi="Arial" w:cs="Arial"/>
          <w:lang w:eastAsia="de-DE"/>
        </w:rPr>
        <w:t xml:space="preserve"> </w:t>
      </w:r>
      <w:r w:rsidR="005431D4">
        <w:rPr>
          <w:rFonts w:ascii="Arial" w:hAnsi="Arial" w:cs="Arial"/>
          <w:lang w:eastAsia="de-DE"/>
        </w:rPr>
        <w:t>Lehrkräftecheckliste</w:t>
      </w:r>
      <w:bookmarkStart w:id="0" w:name="_GoBack"/>
      <w:bookmarkEnd w:id="0"/>
    </w:p>
    <w:p w:rsidR="009F51A9" w:rsidRPr="00B34962" w:rsidRDefault="009F51A9" w:rsidP="009F51A9">
      <w:pPr>
        <w:spacing w:after="240" w:line="320" w:lineRule="exact"/>
        <w:ind w:left="567" w:hanging="567"/>
        <w:rPr>
          <w:rFonts w:ascii="Arial" w:hAnsi="Arial" w:cs="Arial"/>
          <w:color w:val="262626" w:themeColor="text1" w:themeTint="D9"/>
        </w:rPr>
      </w:pPr>
    </w:p>
    <w:sectPr w:rsidR="009F51A9" w:rsidRPr="00B34962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CED" w:rsidRDefault="00D52CED" w:rsidP="005462C7">
      <w:pPr>
        <w:spacing w:after="0" w:line="240" w:lineRule="auto"/>
      </w:pPr>
      <w:r>
        <w:separator/>
      </w:r>
    </w:p>
  </w:endnote>
  <w:endnote w:type="continuationSeparator" w:id="0">
    <w:p w:rsidR="00D52CED" w:rsidRDefault="00D52CED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ED" w:rsidRPr="00F77B2A" w:rsidRDefault="00B97261" w:rsidP="00A87844">
    <w:pPr>
      <w:pStyle w:val="Fuzeile"/>
      <w:tabs>
        <w:tab w:val="clear" w:pos="9072"/>
        <w:tab w:val="left" w:pos="8931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1" type="#_x0000_t202" style="position:absolute;left:0;text-align:left;margin-left:315.4pt;margin-top:.35pt;width:107.6pt;height:11.65pt;z-index:251673600" stroked="f">
          <v:textbox style="mso-next-textbox:#_x0000_s2261" inset="0,0,0,0">
            <w:txbxContent>
              <w:p w:rsidR="00D52CED" w:rsidRPr="00ED149D" w:rsidRDefault="00D52CED" w:rsidP="00A87844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ED149D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" o:connectortype="straight" strokecolor="#666" strokeweight=".5pt"/>
      </w:pict>
    </w:r>
    <w:r w:rsidR="00D52CED" w:rsidRPr="00F77B2A">
      <w:rPr>
        <w:rFonts w:ascii="Arial" w:hAnsi="Arial" w:cs="Arial"/>
        <w:color w:val="666666"/>
        <w:sz w:val="18"/>
      </w:rPr>
      <w:fldChar w:fldCharType="begin"/>
    </w:r>
    <w:r w:rsidR="00D52CED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D52CED" w:rsidRPr="00F77B2A">
      <w:rPr>
        <w:rFonts w:ascii="Arial" w:hAnsi="Arial" w:cs="Arial"/>
        <w:color w:val="666666"/>
        <w:sz w:val="18"/>
      </w:rPr>
      <w:fldChar w:fldCharType="separate"/>
    </w:r>
    <w:r w:rsidR="005431D4">
      <w:rPr>
        <w:rFonts w:ascii="Arial" w:hAnsi="Arial" w:cs="Arial"/>
        <w:noProof/>
        <w:color w:val="666666"/>
        <w:sz w:val="18"/>
      </w:rPr>
      <w:t>2</w:t>
    </w:r>
    <w:r w:rsidR="00D52CED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ED" w:rsidRPr="00F77B2A" w:rsidRDefault="00B97261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D52CED" w:rsidRPr="00ED149D" w:rsidRDefault="00D52CED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ED149D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D52CED" w:rsidRPr="00F77B2A">
      <w:rPr>
        <w:rFonts w:ascii="Arial" w:hAnsi="Arial" w:cs="Arial"/>
        <w:color w:val="666666"/>
        <w:sz w:val="18"/>
      </w:rPr>
      <w:fldChar w:fldCharType="begin"/>
    </w:r>
    <w:r w:rsidR="00D52CED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D52CED" w:rsidRPr="00F77B2A">
      <w:rPr>
        <w:rFonts w:ascii="Arial" w:hAnsi="Arial" w:cs="Arial"/>
        <w:color w:val="666666"/>
        <w:sz w:val="18"/>
      </w:rPr>
      <w:fldChar w:fldCharType="separate"/>
    </w:r>
    <w:r w:rsidR="005431D4">
      <w:rPr>
        <w:rFonts w:ascii="Arial" w:hAnsi="Arial" w:cs="Arial"/>
        <w:noProof/>
        <w:color w:val="666666"/>
        <w:sz w:val="18"/>
      </w:rPr>
      <w:t>1</w:t>
    </w:r>
    <w:r w:rsidR="00D52CED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CED" w:rsidRDefault="00D52CED" w:rsidP="005462C7">
      <w:pPr>
        <w:spacing w:after="0" w:line="240" w:lineRule="auto"/>
      </w:pPr>
      <w:r>
        <w:separator/>
      </w:r>
    </w:p>
  </w:footnote>
  <w:footnote w:type="continuationSeparator" w:id="0">
    <w:p w:rsidR="00D52CED" w:rsidRDefault="00D52CED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ED" w:rsidRDefault="00B97261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D52CED" w:rsidRPr="006B13E2" w:rsidRDefault="00B9726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D52CED" w:rsidRPr="00391349" w:rsidRDefault="00D52CED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B97261">
                  <w:rPr>
                    <w:rFonts w:ascii="Arial" w:hAnsi="Arial" w:cs="Arial"/>
                    <w:sz w:val="18"/>
                  </w:rPr>
                  <w:t>3</w:t>
                </w:r>
                <w:r>
                  <w:rPr>
                    <w:rFonts w:ascii="Arial" w:hAnsi="Arial" w:cs="Arial"/>
                    <w:sz w:val="18"/>
                  </w:rPr>
                  <w:t>.</w:t>
                </w:r>
                <w:r w:rsidR="00B97261">
                  <w:rPr>
                    <w:rFonts w:ascii="Arial" w:hAnsi="Arial" w:cs="Arial"/>
                    <w:sz w:val="18"/>
                  </w:rPr>
                  <w:t>3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D52CED" w:rsidRPr="00A87844" w:rsidRDefault="00D52CED" w:rsidP="00DC17C9">
                <w:pPr>
                  <w:spacing w:after="0"/>
                  <w:rPr>
                    <w:b/>
                  </w:rPr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ED149D" w:rsidRPr="00ED149D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Betriebsbesichtigung</w:t>
                </w:r>
                <w:r w:rsidR="00ED149D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</w:txbxContent>
          </v:textbox>
        </v:shape>
      </w:pict>
    </w:r>
  </w:p>
  <w:p w:rsidR="00D52CED" w:rsidRPr="006B13E2" w:rsidRDefault="00B97261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D52CED" w:rsidRPr="00F77B2A" w:rsidRDefault="00B97261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ED" w:rsidRDefault="00B97261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D52CED" w:rsidRPr="006B13E2" w:rsidRDefault="00B9726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35pt;z-index:251657216;mso-width-relative:margin;mso-height-relative:margin" stroked="f">
          <v:textbox style="mso-next-textbox:#_x0000_s2237" inset="0,0,0,0">
            <w:txbxContent>
              <w:p w:rsidR="00D52CED" w:rsidRDefault="00D52CED" w:rsidP="00ED149D">
                <w:pPr>
                  <w:autoSpaceDE w:val="0"/>
                  <w:autoSpaceDN w:val="0"/>
                  <w:adjustRightInd w:val="0"/>
                  <w:spacing w:after="0" w:line="240" w:lineRule="auto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ED149D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>Betriebsbesichtigung</w:t>
                </w:r>
                <w:r w:rsidR="00ED149D">
                  <w:rPr>
                    <w:rFonts w:ascii="Arial" w:hAnsi="Arial" w:cs="Arial"/>
                    <w:b/>
                    <w:bCs/>
                    <w:color w:val="333333"/>
                    <w:sz w:val="24"/>
                    <w:szCs w:val="24"/>
                    <w:lang w:eastAsia="de-DE"/>
                  </w:rPr>
                  <w:t xml:space="preserve"> 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D52CED" w:rsidRPr="00391349" w:rsidRDefault="00D52CED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>Kapitel 3.3</w:t>
                </w:r>
              </w:p>
            </w:txbxContent>
          </v:textbox>
        </v:shape>
      </w:pict>
    </w:r>
  </w:p>
  <w:p w:rsidR="00D52CED" w:rsidRPr="006B13E2" w:rsidRDefault="00B97261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D52CED" w:rsidRPr="00A0005B" w:rsidRDefault="00B97261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D52CED" w:rsidRDefault="00D52CED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D52CED" w:rsidRPr="00294F4D" w:rsidRDefault="00D52CED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D52CED" w:rsidRPr="00ED149D" w:rsidRDefault="00D52CED" w:rsidP="00D52CED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Betriebsbesichtigung</w:t>
    </w:r>
  </w:p>
  <w:p w:rsidR="00D52CED" w:rsidRDefault="00D52CED" w:rsidP="00F77B2A">
    <w:pPr>
      <w:pStyle w:val="Kopfzeile"/>
      <w:rPr>
        <w:rFonts w:ascii="Arial" w:hAnsi="Arial" w:cs="Arial"/>
        <w:sz w:val="18"/>
      </w:rPr>
    </w:pPr>
  </w:p>
  <w:p w:rsidR="00D52CED" w:rsidRPr="00F77B2A" w:rsidRDefault="00D52CED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2C10"/>
    <w:multiLevelType w:val="hybridMultilevel"/>
    <w:tmpl w:val="45042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6"/>
    <o:shapelayout v:ext="edit">
      <o:idmap v:ext="edit" data="2"/>
      <o:rules v:ext="edit">
        <o:r id="V:Rule23" type="connector" idref="#_x0000_s2235"/>
        <o:r id="V:Rule24" type="connector" idref="#_x0000_s2231"/>
        <o:r id="V:Rule25" type="connector" idref="#_x0000_s2233"/>
        <o:r id="V:Rule26" type="connector" idref="#_x0000_s2186"/>
        <o:r id="V:Rule27" type="connector" idref="#_x0000_s2243"/>
        <o:r id="V:Rule28" type="connector" idref="#_x0000_s2234"/>
        <o:r id="V:Rule29" type="connector" idref="#_x0000_s2224"/>
        <o:r id="V:Rule30" type="connector" idref="#_x0000_s2238"/>
        <o:r id="V:Rule31" type="connector" idref="#_x0000_s2185"/>
        <o:r id="V:Rule32" type="connector" idref="#_x0000_s2226"/>
        <o:r id="V:Rule33" type="connector" idref="#_x0000_s2240"/>
        <o:r id="V:Rule34" type="connector" idref="#_x0000_s2245"/>
        <o:r id="V:Rule35" type="connector" idref="#_x0000_s2250"/>
        <o:r id="V:Rule36" type="connector" idref="#_x0000_s2242"/>
        <o:r id="V:Rule37" type="connector" idref="#_x0000_s2251"/>
        <o:r id="V:Rule38" type="connector" idref="#_x0000_s2228"/>
        <o:r id="V:Rule39" type="connector" idref="#_x0000_s2249"/>
        <o:r id="V:Rule40" type="connector" idref="#_x0000_s2247"/>
        <o:r id="V:Rule41" type="connector" idref="#_x0000_s2232"/>
        <o:r id="V:Rule42" type="connector" idref="#_x0000_s2229"/>
        <o:r id="V:Rule43" type="connector" idref="#_x0000_s2254"/>
        <o:r id="V:Rule44" type="connector" idref="#_x0000_s224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5774B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3031A"/>
    <w:rsid w:val="00333BFC"/>
    <w:rsid w:val="0033466C"/>
    <w:rsid w:val="00335539"/>
    <w:rsid w:val="00395A8A"/>
    <w:rsid w:val="003B7164"/>
    <w:rsid w:val="003E3D95"/>
    <w:rsid w:val="003E3D98"/>
    <w:rsid w:val="00404C1D"/>
    <w:rsid w:val="0044753D"/>
    <w:rsid w:val="004809BA"/>
    <w:rsid w:val="004F7B06"/>
    <w:rsid w:val="005058C8"/>
    <w:rsid w:val="005363DC"/>
    <w:rsid w:val="005431D4"/>
    <w:rsid w:val="005462C7"/>
    <w:rsid w:val="00566688"/>
    <w:rsid w:val="005A127B"/>
    <w:rsid w:val="005C56C1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6086"/>
    <w:rsid w:val="008B79B2"/>
    <w:rsid w:val="008C3BEC"/>
    <w:rsid w:val="008C7E3B"/>
    <w:rsid w:val="008D7BEB"/>
    <w:rsid w:val="009159E0"/>
    <w:rsid w:val="00915FE4"/>
    <w:rsid w:val="0096573F"/>
    <w:rsid w:val="00997DCE"/>
    <w:rsid w:val="009D5D6D"/>
    <w:rsid w:val="009D6527"/>
    <w:rsid w:val="009F51A9"/>
    <w:rsid w:val="00A0005B"/>
    <w:rsid w:val="00A044C0"/>
    <w:rsid w:val="00A54075"/>
    <w:rsid w:val="00A641A7"/>
    <w:rsid w:val="00A75BBB"/>
    <w:rsid w:val="00A87844"/>
    <w:rsid w:val="00AC2E1B"/>
    <w:rsid w:val="00B27EA1"/>
    <w:rsid w:val="00B34962"/>
    <w:rsid w:val="00B521DE"/>
    <w:rsid w:val="00B71060"/>
    <w:rsid w:val="00B97261"/>
    <w:rsid w:val="00BB12AA"/>
    <w:rsid w:val="00BB38E1"/>
    <w:rsid w:val="00C144C5"/>
    <w:rsid w:val="00C22ECF"/>
    <w:rsid w:val="00C32D19"/>
    <w:rsid w:val="00C34E28"/>
    <w:rsid w:val="00C54DE0"/>
    <w:rsid w:val="00C76FC2"/>
    <w:rsid w:val="00CE33F5"/>
    <w:rsid w:val="00D147F1"/>
    <w:rsid w:val="00D52CED"/>
    <w:rsid w:val="00D56762"/>
    <w:rsid w:val="00D64C44"/>
    <w:rsid w:val="00D71EF6"/>
    <w:rsid w:val="00DC17C9"/>
    <w:rsid w:val="00E006B8"/>
    <w:rsid w:val="00E0648F"/>
    <w:rsid w:val="00E06CF0"/>
    <w:rsid w:val="00E213DB"/>
    <w:rsid w:val="00E24B4F"/>
    <w:rsid w:val="00E975B4"/>
    <w:rsid w:val="00EB6FC6"/>
    <w:rsid w:val="00ED149D"/>
    <w:rsid w:val="00F0534C"/>
    <w:rsid w:val="00F25A58"/>
    <w:rsid w:val="00F31B10"/>
    <w:rsid w:val="00F55907"/>
    <w:rsid w:val="00F77B2A"/>
    <w:rsid w:val="00FC6B13"/>
    <w:rsid w:val="00FD161E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6"/>
    <o:shapelayout v:ext="edit">
      <o:idmap v:ext="edit" data="1"/>
    </o:shapelayout>
  </w:shapeDefaults>
  <w:decimalSymbol w:val=","/>
  <w:listSeparator w:val=";"/>
  <w14:docId w14:val="745989C3"/>
  <w15:docId w15:val="{1AFB22D5-6C33-4711-8FB7-8FE0A2E1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C75A2-559D-43CB-A8D0-D42BEA15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4</cp:revision>
  <cp:lastPrinted>2014-01-08T06:57:00Z</cp:lastPrinted>
  <dcterms:created xsi:type="dcterms:W3CDTF">2018-10-22T13:37:00Z</dcterms:created>
  <dcterms:modified xsi:type="dcterms:W3CDTF">2019-04-23T11:11:00Z</dcterms:modified>
</cp:coreProperties>
</file>